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419C" w14:textId="324204DC" w:rsidR="00C30599" w:rsidRPr="00730B88" w:rsidRDefault="0059160C" w:rsidP="00C30599">
      <w:pPr>
        <w:jc w:val="left"/>
        <w:rPr>
          <w:rFonts w:asciiTheme="minorEastAsia" w:hAnsiTheme="minorEastAsia"/>
          <w:b/>
          <w:sz w:val="24"/>
          <w:szCs w:val="24"/>
        </w:rPr>
      </w:pPr>
      <w:r>
        <w:rPr>
          <w:rFonts w:asciiTheme="minorEastAsia" w:hAnsiTheme="minorEastAsia" w:hint="eastAsia"/>
          <w:b/>
          <w:noProof/>
          <w:sz w:val="24"/>
          <w:szCs w:val="24"/>
        </w:rPr>
        <mc:AlternateContent>
          <mc:Choice Requires="wps">
            <w:drawing>
              <wp:anchor distT="0" distB="0" distL="114300" distR="114300" simplePos="0" relativeHeight="251659264" behindDoc="0" locked="0" layoutInCell="1" allowOverlap="1" wp14:anchorId="29C130A2" wp14:editId="0EECCF12">
                <wp:simplePos x="0" y="0"/>
                <wp:positionH relativeFrom="margin">
                  <wp:align>right</wp:align>
                </wp:positionH>
                <wp:positionV relativeFrom="paragraph">
                  <wp:posOffset>-660400</wp:posOffset>
                </wp:positionV>
                <wp:extent cx="1504950" cy="546100"/>
                <wp:effectExtent l="0" t="0" r="19050" b="25400"/>
                <wp:wrapNone/>
                <wp:docPr id="1831514618" name="テキスト ボックス 1"/>
                <wp:cNvGraphicFramePr/>
                <a:graphic xmlns:a="http://schemas.openxmlformats.org/drawingml/2006/main">
                  <a:graphicData uri="http://schemas.microsoft.com/office/word/2010/wordprocessingShape">
                    <wps:wsp>
                      <wps:cNvSpPr txBox="1"/>
                      <wps:spPr>
                        <a:xfrm>
                          <a:off x="0" y="0"/>
                          <a:ext cx="1504950" cy="546100"/>
                        </a:xfrm>
                        <a:prstGeom prst="rect">
                          <a:avLst/>
                        </a:prstGeom>
                        <a:solidFill>
                          <a:schemeClr val="lt1"/>
                        </a:solidFill>
                        <a:ln w="19050">
                          <a:solidFill>
                            <a:schemeClr val="tx1"/>
                          </a:solidFill>
                        </a:ln>
                      </wps:spPr>
                      <wps:txbx>
                        <w:txbxContent>
                          <w:p w14:paraId="0EE559B7" w14:textId="59575864" w:rsidR="0059160C" w:rsidRPr="0059160C" w:rsidRDefault="0059160C">
                            <w:pPr>
                              <w:rPr>
                                <w:sz w:val="32"/>
                                <w:szCs w:val="32"/>
                              </w:rPr>
                            </w:pPr>
                            <w:r w:rsidRPr="0059160C">
                              <w:rPr>
                                <w:rFonts w:hint="eastAsia"/>
                                <w:sz w:val="32"/>
                                <w:szCs w:val="32"/>
                              </w:rPr>
                              <w:t>資料１－４</w:t>
                            </w:r>
                            <w:r w:rsidR="00BF01C1">
                              <w:rPr>
                                <w:rFonts w:hint="eastAsia"/>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130A2" id="_x0000_t202" coordsize="21600,21600" o:spt="202" path="m,l,21600r21600,l21600,xe">
                <v:stroke joinstyle="miter"/>
                <v:path gradientshapeok="t" o:connecttype="rect"/>
              </v:shapetype>
              <v:shape id="テキスト ボックス 1" o:spid="_x0000_s1026" type="#_x0000_t202" style="position:absolute;margin-left:67.3pt;margin-top:-52pt;width:118.5pt;height: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" fillcolor="white [3201]" strokecolor="black [3213]" strokeweight="1.5pt">
                <v:textbox>
                  <w:txbxContent>
                    <w:p w14:paraId="0EE559B7" w14:textId="59575864" w:rsidR="0059160C" w:rsidRPr="0059160C" w:rsidRDefault="0059160C">
                      <w:pPr>
                        <w:rPr>
                          <w:sz w:val="32"/>
                          <w:szCs w:val="32"/>
                        </w:rPr>
                      </w:pPr>
                      <w:r w:rsidRPr="0059160C">
                        <w:rPr>
                          <w:rFonts w:hint="eastAsia"/>
                          <w:sz w:val="32"/>
                          <w:szCs w:val="32"/>
                        </w:rPr>
                        <w:t>資料１－４</w:t>
                      </w:r>
                      <w:r w:rsidR="00BF01C1">
                        <w:rPr>
                          <w:rFonts w:hint="eastAsia"/>
                          <w:sz w:val="32"/>
                          <w:szCs w:val="32"/>
                        </w:rPr>
                        <w:t>(2)</w:t>
                      </w:r>
                    </w:p>
                  </w:txbxContent>
                </v:textbox>
                <w10:wrap anchorx="margin"/>
              </v:shape>
            </w:pict>
          </mc:Fallback>
        </mc:AlternateContent>
      </w:r>
      <w:r w:rsidR="00306ABE">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5C84065B"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15D8B5"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C278C31"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3A17FB"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B6CC67"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6CC6B8C"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46DBCA"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6A86AA"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BCD6A9"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2C0905B0"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FF4BFB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B6C274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F2B871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3E95A8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A431EF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102C92F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2BFDB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FB21C7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EFAF52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C9B66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0ACC9F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FCC99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72D0AA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5FF5A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7F425D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E9C7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0965F4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noWrap/>
            <w:vAlign w:val="center"/>
            <w:hideMark/>
          </w:tcPr>
          <w:p w14:paraId="03D2B211"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505E6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E60232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vAlign w:val="center"/>
            <w:hideMark/>
          </w:tcPr>
          <w:p w14:paraId="1931AEE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2102A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144656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3ABAF2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5BC29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7457B9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FA2398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D86A1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0FB00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vAlign w:val="center"/>
            <w:hideMark/>
          </w:tcPr>
          <w:p w14:paraId="3840E21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C2E0F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E0CFF5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0BF3FE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6C28C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C65A63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vAlign w:val="center"/>
            <w:hideMark/>
          </w:tcPr>
          <w:p w14:paraId="42A7A93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5134CC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075C8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vAlign w:val="center"/>
            <w:hideMark/>
          </w:tcPr>
          <w:p w14:paraId="01A773D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013E9B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6FA70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14D3F1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2F1E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0082B1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4695C2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90145D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0E23F9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2AEA4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20E10D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4D02CA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A0A85E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79E8C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EE35C7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35F93C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4B522D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40775D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D4189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7648F5D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80C46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CF2B4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C006D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vAlign w:val="center"/>
            <w:hideMark/>
          </w:tcPr>
          <w:p w14:paraId="21D480F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0634E8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CC96F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6C6B0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4F5CD1E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6EDED2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60AECCC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9AAB53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F7F46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vAlign w:val="center"/>
            <w:hideMark/>
          </w:tcPr>
          <w:p w14:paraId="4468C2A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vAlign w:val="center"/>
            <w:hideMark/>
          </w:tcPr>
          <w:p w14:paraId="02005E6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332782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239194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38AF1B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466B85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3B9CAEC"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3046F2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F71E5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75449F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7A5AE4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A1C43F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96766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ED4BA5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31FE1E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CD8C4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C3B3EF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291F8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0AB819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vAlign w:val="center"/>
            <w:hideMark/>
          </w:tcPr>
          <w:p w14:paraId="5E9862B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710CC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A7F03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5C794B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4A1DC1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5086536C"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57FE86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EC20D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8B4A30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4DF5C5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7E59DA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DD6CF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FAA88D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C5067A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3A5AA3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014CFA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04A5B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vAlign w:val="center"/>
            <w:hideMark/>
          </w:tcPr>
          <w:p w14:paraId="6857456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vAlign w:val="center"/>
            <w:hideMark/>
          </w:tcPr>
          <w:p w14:paraId="770FA4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E1CAE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D4FCB5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9380B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vAlign w:val="center"/>
            <w:hideMark/>
          </w:tcPr>
          <w:p w14:paraId="162265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0999C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B5E50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6F49F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D75F5E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vAlign w:val="center"/>
            <w:hideMark/>
          </w:tcPr>
          <w:p w14:paraId="11668E7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673F0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8E027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5A487D5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29FD403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7395F82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BE95A9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37B8E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0BE345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vAlign w:val="center"/>
            <w:hideMark/>
          </w:tcPr>
          <w:p w14:paraId="6BEBAC9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B48669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39535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7E203CE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35CCA7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073589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8702C83" w14:textId="77777777"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44C08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299B51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vAlign w:val="center"/>
            <w:hideMark/>
          </w:tcPr>
          <w:p w14:paraId="2DC4C48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0B3C6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3BCA993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vAlign w:val="center"/>
            <w:hideMark/>
          </w:tcPr>
          <w:p w14:paraId="6663A8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856067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noWrap/>
            <w:vAlign w:val="center"/>
            <w:hideMark/>
          </w:tcPr>
          <w:p w14:paraId="3742CAF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AD3667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268507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6E3CBE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3C11711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042C975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3DB599A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14428E8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0FC1A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vAlign w:val="center"/>
            <w:hideMark/>
          </w:tcPr>
          <w:p w14:paraId="4685AB7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vAlign w:val="center"/>
            <w:hideMark/>
          </w:tcPr>
          <w:p w14:paraId="1110C99B"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vAlign w:val="center"/>
            <w:hideMark/>
          </w:tcPr>
          <w:p w14:paraId="4C1308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12935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5080AA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08CFB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B8A50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6E579D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6239B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vAlign w:val="center"/>
            <w:hideMark/>
          </w:tcPr>
          <w:p w14:paraId="4B4DF50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vAlign w:val="center"/>
            <w:hideMark/>
          </w:tcPr>
          <w:p w14:paraId="08BEFB6C"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vAlign w:val="center"/>
            <w:hideMark/>
          </w:tcPr>
          <w:p w14:paraId="21C00F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02C68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vAlign w:val="center"/>
            <w:hideMark/>
          </w:tcPr>
          <w:p w14:paraId="229F7B8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vAlign w:val="center"/>
            <w:hideMark/>
          </w:tcPr>
          <w:p w14:paraId="5B51EF1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14DF6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57B4082"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7FDF3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vAlign w:val="center"/>
            <w:hideMark/>
          </w:tcPr>
          <w:p w14:paraId="10A3C82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vAlign w:val="center"/>
            <w:hideMark/>
          </w:tcPr>
          <w:p w14:paraId="764170D4"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vAlign w:val="center"/>
            <w:hideMark/>
          </w:tcPr>
          <w:p w14:paraId="479262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5E776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BC7565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194957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DBA0C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089EF1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669AA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vAlign w:val="center"/>
            <w:hideMark/>
          </w:tcPr>
          <w:p w14:paraId="1F49152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vAlign w:val="center"/>
            <w:hideMark/>
          </w:tcPr>
          <w:p w14:paraId="51BD2A1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vAlign w:val="center"/>
            <w:hideMark/>
          </w:tcPr>
          <w:p w14:paraId="6104CC0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0135B2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519C5B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767F89D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5D892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167E86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A6CA8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vAlign w:val="center"/>
            <w:hideMark/>
          </w:tcPr>
          <w:p w14:paraId="37B58B1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vAlign w:val="center"/>
            <w:hideMark/>
          </w:tcPr>
          <w:p w14:paraId="4AA4F114"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vAlign w:val="center"/>
            <w:hideMark/>
          </w:tcPr>
          <w:p w14:paraId="34C167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AA4E9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239B455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6BF55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53DDD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EAFD23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4B438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vAlign w:val="center"/>
            <w:hideMark/>
          </w:tcPr>
          <w:p w14:paraId="746B88E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vAlign w:val="center"/>
            <w:hideMark/>
          </w:tcPr>
          <w:p w14:paraId="5C7022D1"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vAlign w:val="center"/>
            <w:hideMark/>
          </w:tcPr>
          <w:p w14:paraId="54F493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5CD6A14"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46B63A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6DA9DB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BE22B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B5BA48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2174C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vAlign w:val="center"/>
            <w:hideMark/>
          </w:tcPr>
          <w:p w14:paraId="008AEC5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vAlign w:val="center"/>
            <w:hideMark/>
          </w:tcPr>
          <w:p w14:paraId="6C996F7D"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5556FCDB"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052F38E6"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vAlign w:val="center"/>
            <w:hideMark/>
          </w:tcPr>
          <w:p w14:paraId="7FA693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4679FC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66944B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0F7E463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A58CA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1FD1F16"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C28CC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vAlign w:val="center"/>
            <w:hideMark/>
          </w:tcPr>
          <w:p w14:paraId="539EA22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vAlign w:val="center"/>
            <w:hideMark/>
          </w:tcPr>
          <w:p w14:paraId="07C07EEE"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vAlign w:val="center"/>
            <w:hideMark/>
          </w:tcPr>
          <w:p w14:paraId="7ED2171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CCDF5F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462391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2734BC7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D2FC36E" w14:textId="77777777" w:rsid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p w14:paraId="1C691965" w14:textId="77777777"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14:paraId="070007A5" w14:textId="77777777"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14:paraId="2731F127" w14:textId="77777777" w:rsidR="00AE7313" w:rsidRPr="00F97ACD" w:rsidRDefault="00AE7313" w:rsidP="00F97ACD">
            <w:pPr>
              <w:widowControl/>
              <w:jc w:val="left"/>
              <w:rPr>
                <w:rFonts w:ascii="ＭＳ Ｐゴシック" w:eastAsia="ＭＳ Ｐゴシック" w:hAnsi="ＭＳ Ｐゴシック" w:cs="ＭＳ Ｐゴシック"/>
                <w:color w:val="000000"/>
                <w:kern w:val="0"/>
                <w:sz w:val="16"/>
                <w:szCs w:val="16"/>
              </w:rPr>
            </w:pPr>
          </w:p>
        </w:tc>
      </w:tr>
      <w:tr w:rsidR="00F97ACD" w:rsidRPr="00F97ACD" w14:paraId="78D3849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9E787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vAlign w:val="center"/>
            <w:hideMark/>
          </w:tcPr>
          <w:p w14:paraId="28814A0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vAlign w:val="center"/>
            <w:hideMark/>
          </w:tcPr>
          <w:p w14:paraId="03019044"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vAlign w:val="center"/>
            <w:hideMark/>
          </w:tcPr>
          <w:p w14:paraId="6E082A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A456B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44224B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8878D7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634C152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696A1B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9209B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vAlign w:val="center"/>
            <w:hideMark/>
          </w:tcPr>
          <w:p w14:paraId="2E8AA2B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vAlign w:val="center"/>
            <w:hideMark/>
          </w:tcPr>
          <w:p w14:paraId="17922BE4"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vAlign w:val="center"/>
            <w:hideMark/>
          </w:tcPr>
          <w:p w14:paraId="5DAA8DA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3088ED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vAlign w:val="center"/>
            <w:hideMark/>
          </w:tcPr>
          <w:p w14:paraId="2A5BB1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vAlign w:val="center"/>
            <w:hideMark/>
          </w:tcPr>
          <w:p w14:paraId="1AACEA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6A943B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243C17E"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BC696C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C947F4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27E3BF3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72B03C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783C097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081D6CD2"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62DF8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vAlign w:val="center"/>
            <w:hideMark/>
          </w:tcPr>
          <w:p w14:paraId="282544D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vAlign w:val="center"/>
            <w:hideMark/>
          </w:tcPr>
          <w:p w14:paraId="38CD973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vAlign w:val="center"/>
            <w:hideMark/>
          </w:tcPr>
          <w:p w14:paraId="422FB1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AA88B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F00762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FC17C8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CD310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DA7D8A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E470A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vAlign w:val="center"/>
            <w:hideMark/>
          </w:tcPr>
          <w:p w14:paraId="35C3AC7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vAlign w:val="center"/>
            <w:hideMark/>
          </w:tcPr>
          <w:p w14:paraId="2EBCF2D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vAlign w:val="center"/>
            <w:hideMark/>
          </w:tcPr>
          <w:p w14:paraId="21BC8A6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91768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2115F8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F8A9423"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261D151"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1C1A711"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2F82C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vAlign w:val="center"/>
            <w:hideMark/>
          </w:tcPr>
          <w:p w14:paraId="78B87BF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vAlign w:val="center"/>
            <w:hideMark/>
          </w:tcPr>
          <w:p w14:paraId="58784F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vAlign w:val="center"/>
            <w:hideMark/>
          </w:tcPr>
          <w:p w14:paraId="1A86389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A353A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71E2E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3BE9F44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94C5E1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0E16A4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32F87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vAlign w:val="center"/>
            <w:hideMark/>
          </w:tcPr>
          <w:p w14:paraId="4771C28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vAlign w:val="center"/>
            <w:hideMark/>
          </w:tcPr>
          <w:p w14:paraId="724130E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vAlign w:val="center"/>
            <w:hideMark/>
          </w:tcPr>
          <w:p w14:paraId="49FCEE2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749DDF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37D3EC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820BEF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7B4B3F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94D882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B607C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vAlign w:val="center"/>
            <w:hideMark/>
          </w:tcPr>
          <w:p w14:paraId="0C54E75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vAlign w:val="center"/>
            <w:hideMark/>
          </w:tcPr>
          <w:p w14:paraId="303B8EC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vAlign w:val="center"/>
            <w:hideMark/>
          </w:tcPr>
          <w:p w14:paraId="77E06B0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7776375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D35078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466F8011"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3E90EFD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E0DFA5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6E49B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vAlign w:val="center"/>
            <w:hideMark/>
          </w:tcPr>
          <w:p w14:paraId="380DE43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vAlign w:val="center"/>
            <w:hideMark/>
          </w:tcPr>
          <w:p w14:paraId="07F9E94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vAlign w:val="center"/>
            <w:hideMark/>
          </w:tcPr>
          <w:p w14:paraId="1978137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E8F12D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1D3C4A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42C6474"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6616A6E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A15E14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4A5A5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vAlign w:val="center"/>
            <w:hideMark/>
          </w:tcPr>
          <w:p w14:paraId="44796B7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vAlign w:val="center"/>
            <w:hideMark/>
          </w:tcPr>
          <w:p w14:paraId="011B96B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vAlign w:val="center"/>
            <w:hideMark/>
          </w:tcPr>
          <w:p w14:paraId="1A7265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19DF9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489F0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ACDB07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0FF877B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FE146F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6FC2D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vAlign w:val="center"/>
            <w:hideMark/>
          </w:tcPr>
          <w:p w14:paraId="0E93494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vAlign w:val="center"/>
            <w:hideMark/>
          </w:tcPr>
          <w:p w14:paraId="436F6DC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vAlign w:val="center"/>
            <w:hideMark/>
          </w:tcPr>
          <w:p w14:paraId="24D359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B20B7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134DA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3B7AC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2866193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54D75B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6B52B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vAlign w:val="center"/>
            <w:hideMark/>
          </w:tcPr>
          <w:p w14:paraId="2051BF5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vAlign w:val="center"/>
            <w:hideMark/>
          </w:tcPr>
          <w:p w14:paraId="7B26BD5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vAlign w:val="center"/>
            <w:hideMark/>
          </w:tcPr>
          <w:p w14:paraId="183B27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07476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F03BD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4D8938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43FF9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1310EE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AACC8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vAlign w:val="center"/>
            <w:hideMark/>
          </w:tcPr>
          <w:p w14:paraId="7E74E3A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vAlign w:val="center"/>
            <w:hideMark/>
          </w:tcPr>
          <w:p w14:paraId="654D851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vAlign w:val="center"/>
            <w:hideMark/>
          </w:tcPr>
          <w:p w14:paraId="69F853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76999E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7E6F31A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AD109F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078466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6DF1A2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15333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vAlign w:val="center"/>
            <w:hideMark/>
          </w:tcPr>
          <w:p w14:paraId="025BB97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vAlign w:val="center"/>
            <w:hideMark/>
          </w:tcPr>
          <w:p w14:paraId="13E6482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vAlign w:val="center"/>
            <w:hideMark/>
          </w:tcPr>
          <w:p w14:paraId="046A9C5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8FC6CD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56E88D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294D85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133D6F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F67BC1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FBB106"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vAlign w:val="center"/>
            <w:hideMark/>
          </w:tcPr>
          <w:p w14:paraId="7DC2FF0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vAlign w:val="center"/>
            <w:hideMark/>
          </w:tcPr>
          <w:p w14:paraId="3CBDC2A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vAlign w:val="center"/>
            <w:hideMark/>
          </w:tcPr>
          <w:p w14:paraId="56E21D5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B8BAEA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8B80AA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77E1F5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C84D8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F6D8E1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A81087"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vAlign w:val="center"/>
            <w:hideMark/>
          </w:tcPr>
          <w:p w14:paraId="6F8EF82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vAlign w:val="center"/>
            <w:hideMark/>
          </w:tcPr>
          <w:p w14:paraId="5AD2428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vAlign w:val="center"/>
            <w:hideMark/>
          </w:tcPr>
          <w:p w14:paraId="4F4F6A4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4ADA7F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0512B8E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A4D4D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29EC16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00C1B5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F0D8C2"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vAlign w:val="center"/>
            <w:hideMark/>
          </w:tcPr>
          <w:p w14:paraId="1AB83A2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vAlign w:val="center"/>
            <w:hideMark/>
          </w:tcPr>
          <w:p w14:paraId="289AF1E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vAlign w:val="center"/>
            <w:hideMark/>
          </w:tcPr>
          <w:p w14:paraId="5B3F3D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241517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821271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0AE52B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4C90D3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F59D5A8"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B81D33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sidR="0090335E">
              <w:rPr>
                <w:rFonts w:ascii="ＭＳ Ｐゴシック" w:eastAsia="ＭＳ Ｐゴシック" w:hAnsi="ＭＳ Ｐゴシック" w:cs="ＭＳ Ｐゴシック" w:hint="eastAsia"/>
                <w:b/>
                <w:bCs/>
                <w:color w:val="FFFFFF"/>
                <w:kern w:val="0"/>
                <w:sz w:val="22"/>
              </w:rPr>
              <w:t>の</w:t>
            </w:r>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E8FB89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1AA8A25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5267B8D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702B11E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2FB8FBA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665DAD"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1624B946"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9E47CF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vAlign w:val="center"/>
            <w:hideMark/>
          </w:tcPr>
          <w:p w14:paraId="6D9B9F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6343E5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1D48F7A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1351D6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5A395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25DB2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9C051F"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A7D57F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5A4998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16A311C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8EF01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54157FA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57CFA64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429CB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1B7881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94558C"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8A2BF4A"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5691552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vAlign w:val="center"/>
            <w:hideMark/>
          </w:tcPr>
          <w:p w14:paraId="207C4F6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5BFFBA0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C915A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6F3913B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BB74AA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615612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EBABD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442C7C1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9A1A3D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vAlign w:val="center"/>
            <w:hideMark/>
          </w:tcPr>
          <w:p w14:paraId="4918853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4CBB7BB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4F85715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4D5B20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BEF4ACD"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34B260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3C13D7"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4D20BA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916CD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vAlign w:val="center"/>
            <w:hideMark/>
          </w:tcPr>
          <w:p w14:paraId="2ACD15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18C07B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2B3C3C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40EA7BA7"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E969E7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85471C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FEEE3B"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3060182"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874BB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vAlign w:val="center"/>
            <w:hideMark/>
          </w:tcPr>
          <w:p w14:paraId="314197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3C6EC9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014266B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6B6C69D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3925C07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325E36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9F0C5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22A8F5B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6E749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vAlign w:val="center"/>
            <w:hideMark/>
          </w:tcPr>
          <w:p w14:paraId="31F582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32AE41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620C25A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070E3D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485E42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BCB630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92920E"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4FA0B8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79968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vAlign w:val="center"/>
            <w:hideMark/>
          </w:tcPr>
          <w:p w14:paraId="134CC4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noWrap/>
            <w:vAlign w:val="center"/>
            <w:hideMark/>
          </w:tcPr>
          <w:p w14:paraId="03234BA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noWrap/>
            <w:vAlign w:val="center"/>
            <w:hideMark/>
          </w:tcPr>
          <w:p w14:paraId="7C199E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vAlign w:val="center"/>
            <w:hideMark/>
          </w:tcPr>
          <w:p w14:paraId="7DD06F5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04D97F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D77BCC9"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A1DE67"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0DDE25F"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2B421E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vAlign w:val="center"/>
            <w:hideMark/>
          </w:tcPr>
          <w:p w14:paraId="22A7FC8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218E95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vAlign w:val="center"/>
            <w:hideMark/>
          </w:tcPr>
          <w:p w14:paraId="75F77E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noWrap/>
            <w:vAlign w:val="center"/>
            <w:hideMark/>
          </w:tcPr>
          <w:p w14:paraId="32ADF93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noWrap/>
            <w:vAlign w:val="center"/>
            <w:hideMark/>
          </w:tcPr>
          <w:p w14:paraId="573DEB4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15936C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925B7C"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vAlign w:val="center"/>
            <w:hideMark/>
          </w:tcPr>
          <w:p w14:paraId="0ACC969E"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5BAD48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vAlign w:val="center"/>
            <w:hideMark/>
          </w:tcPr>
          <w:p w14:paraId="4B785A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343D5D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vAlign w:val="center"/>
            <w:hideMark/>
          </w:tcPr>
          <w:p w14:paraId="3C6F59F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vAlign w:val="center"/>
            <w:hideMark/>
          </w:tcPr>
          <w:p w14:paraId="16DC4AA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vAlign w:val="center"/>
            <w:hideMark/>
          </w:tcPr>
          <w:p w14:paraId="1C28B94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36985E65"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489C" w14:textId="77777777" w:rsidR="008C708E" w:rsidRDefault="008C708E" w:rsidP="00D50499">
      <w:r>
        <w:separator/>
      </w:r>
    </w:p>
  </w:endnote>
  <w:endnote w:type="continuationSeparator" w:id="0">
    <w:p w14:paraId="498156D5" w14:textId="77777777" w:rsidR="008C708E" w:rsidRDefault="008C708E"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686032"/>
      <w:docPartObj>
        <w:docPartGallery w:val="Page Numbers (Bottom of Page)"/>
        <w:docPartUnique/>
      </w:docPartObj>
    </w:sdtPr>
    <w:sdtEndPr/>
    <w:sdtContent>
      <w:p w14:paraId="699FE0B7" w14:textId="77777777"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14:paraId="357CC318" w14:textId="77777777"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321401"/>
      <w:docPartObj>
        <w:docPartGallery w:val="Page Numbers (Bottom of Page)"/>
        <w:docPartUnique/>
      </w:docPartObj>
    </w:sdtPr>
    <w:sdtEndPr/>
    <w:sdtContent>
      <w:p w14:paraId="7B0A51A9" w14:textId="77777777"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14:paraId="55EBA925"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22428" w14:textId="77777777" w:rsidR="008C708E" w:rsidRDefault="008C708E" w:rsidP="00D50499">
      <w:r>
        <w:separator/>
      </w:r>
    </w:p>
  </w:footnote>
  <w:footnote w:type="continuationSeparator" w:id="0">
    <w:p w14:paraId="78D74FDF" w14:textId="77777777" w:rsidR="008C708E" w:rsidRDefault="008C708E"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FB91"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D7B16"/>
    <w:rsid w:val="000E10EA"/>
    <w:rsid w:val="000E4B44"/>
    <w:rsid w:val="000E6427"/>
    <w:rsid w:val="000E78A8"/>
    <w:rsid w:val="000E7AF9"/>
    <w:rsid w:val="000F510A"/>
    <w:rsid w:val="000F5135"/>
    <w:rsid w:val="000F6D49"/>
    <w:rsid w:val="001003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60C"/>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23FD"/>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37F53"/>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C708E"/>
    <w:rsid w:val="008D0193"/>
    <w:rsid w:val="008D444E"/>
    <w:rsid w:val="008D4CF0"/>
    <w:rsid w:val="008E339C"/>
    <w:rsid w:val="008E3B49"/>
    <w:rsid w:val="008E5A82"/>
    <w:rsid w:val="008E6186"/>
    <w:rsid w:val="008F19CE"/>
    <w:rsid w:val="008F5BC2"/>
    <w:rsid w:val="00900C9C"/>
    <w:rsid w:val="0090335E"/>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E7313"/>
    <w:rsid w:val="00AF1AC5"/>
    <w:rsid w:val="00AF5BEC"/>
    <w:rsid w:val="00B00A47"/>
    <w:rsid w:val="00B04F3A"/>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01C1"/>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0DC8"/>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6828"/>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B6885"/>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1121</Words>
  <Characters>6392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　明香里</dc:creator>
  <cp:lastModifiedBy>田原　悠季</cp:lastModifiedBy>
  <cp:revision>3</cp:revision>
  <cp:lastPrinted>2017-03-29T04:40:00Z</cp:lastPrinted>
  <dcterms:created xsi:type="dcterms:W3CDTF">2026-06-15T07:45:00Z</dcterms:created>
  <dcterms:modified xsi:type="dcterms:W3CDTF">2026-06-15T08:01:00Z</dcterms:modified>
</cp:coreProperties>
</file>