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BE" w:rsidRPr="00626635" w:rsidRDefault="00626635">
      <w:pPr>
        <w:rPr>
          <w:rFonts w:asciiTheme="minorEastAsia" w:eastAsiaTheme="minorEastAsia" w:hAnsiTheme="minorEastAsia" w:cs="ＭＳ Ｐゴシック"/>
          <w:kern w:val="0"/>
          <w:sz w:val="18"/>
          <w:szCs w:val="21"/>
        </w:rPr>
      </w:pPr>
      <w:r w:rsidRPr="00626635">
        <w:rPr>
          <w:rFonts w:asciiTheme="minorEastAsia" w:eastAsiaTheme="minorEastAsia" w:hAnsiTheme="minorEastAsia" w:cs="ＭＳ Ｐゴシック" w:hint="eastAsia"/>
          <w:kern w:val="0"/>
          <w:sz w:val="22"/>
          <w:szCs w:val="21"/>
        </w:rPr>
        <w:t>別紙</w:t>
      </w:r>
      <w:r w:rsidR="00B0519D">
        <w:rPr>
          <w:rFonts w:asciiTheme="minorEastAsia" w:eastAsiaTheme="minorEastAsia" w:hAnsiTheme="minorEastAsia" w:cs="ＭＳ Ｐゴシック" w:hint="eastAsia"/>
          <w:kern w:val="0"/>
          <w:sz w:val="22"/>
          <w:szCs w:val="21"/>
        </w:rPr>
        <w:t>１</w:t>
      </w:r>
      <w:bookmarkStart w:id="0" w:name="_GoBack"/>
      <w:bookmarkEnd w:id="0"/>
      <w:r w:rsidRPr="00626635">
        <w:rPr>
          <w:rFonts w:asciiTheme="minorEastAsia" w:eastAsiaTheme="minorEastAsia" w:hAnsiTheme="minorEastAsia" w:cs="ＭＳ Ｐゴシック" w:hint="eastAsia"/>
          <w:kern w:val="0"/>
          <w:sz w:val="22"/>
          <w:szCs w:val="21"/>
        </w:rPr>
        <w:t xml:space="preserve">　リスク分担表</w:t>
      </w:r>
      <w:r w:rsidR="00981304" w:rsidRPr="00626635">
        <w:rPr>
          <w:rFonts w:asciiTheme="minorEastAsia" w:eastAsiaTheme="minorEastAsia" w:hAnsiTheme="minorEastAsia" w:cs="ＭＳ Ｐゴシック" w:hint="eastAsia"/>
          <w:kern w:val="0"/>
          <w:sz w:val="18"/>
          <w:szCs w:val="21"/>
        </w:rPr>
        <w:t>（甲は墨田区、乙は指定管理者）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5"/>
        <w:gridCol w:w="6039"/>
        <w:gridCol w:w="653"/>
        <w:gridCol w:w="653"/>
      </w:tblGrid>
      <w:tr w:rsidR="00626635" w:rsidRPr="0029171D" w:rsidTr="0029171D">
        <w:tc>
          <w:tcPr>
            <w:tcW w:w="964" w:type="pct"/>
            <w:vMerge w:val="restar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種　　類</w:t>
            </w:r>
          </w:p>
        </w:tc>
        <w:tc>
          <w:tcPr>
            <w:tcW w:w="3318" w:type="pct"/>
            <w:vMerge w:val="restar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内　　　　容</w:t>
            </w:r>
          </w:p>
        </w:tc>
        <w:tc>
          <w:tcPr>
            <w:tcW w:w="718" w:type="pct"/>
            <w:gridSpan w:val="2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負担者</w:t>
            </w:r>
          </w:p>
        </w:tc>
      </w:tr>
      <w:tr w:rsidR="00626635" w:rsidRPr="0029171D" w:rsidTr="0029171D">
        <w:tc>
          <w:tcPr>
            <w:tcW w:w="964" w:type="pct"/>
            <w:vMerge/>
            <w:vAlign w:val="center"/>
            <w:hideMark/>
          </w:tcPr>
          <w:p w:rsidR="00626635" w:rsidRPr="0029171D" w:rsidRDefault="0062663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Merge/>
            <w:vAlign w:val="center"/>
            <w:hideMark/>
          </w:tcPr>
          <w:p w:rsidR="00626635" w:rsidRPr="0029171D" w:rsidRDefault="0062663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甲</w:t>
            </w: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乙</w:t>
            </w:r>
          </w:p>
        </w:tc>
      </w:tr>
      <w:tr w:rsidR="00626635" w:rsidRPr="0029171D" w:rsidTr="0029171D">
        <w:tc>
          <w:tcPr>
            <w:tcW w:w="964" w:type="pct"/>
            <w:vMerge w:val="restar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法令等の新設・変更</w:t>
            </w: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施設の管理運営に影響のある法令等の新設・変更</w:t>
            </w:r>
          </w:p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（他の項目に記載されているものを除く。）</w:t>
            </w: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626635" w:rsidRPr="0029171D" w:rsidTr="0029171D">
        <w:tc>
          <w:tcPr>
            <w:tcW w:w="964" w:type="pct"/>
            <w:vMerge/>
            <w:vAlign w:val="center"/>
            <w:hideMark/>
          </w:tcPr>
          <w:p w:rsidR="00626635" w:rsidRPr="0029171D" w:rsidRDefault="0062663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指定管理者自身に影響のある法令等の新設・変更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626635" w:rsidRPr="0029171D" w:rsidTr="0029171D">
        <w:tc>
          <w:tcPr>
            <w:tcW w:w="964" w:type="pct"/>
            <w:vMerge w:val="restar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税制の変更</w:t>
            </w:r>
          </w:p>
        </w:tc>
        <w:tc>
          <w:tcPr>
            <w:tcW w:w="3318" w:type="pct"/>
            <w:vAlign w:val="center"/>
            <w:hideMark/>
          </w:tcPr>
          <w:p w:rsidR="00F70582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施設の管理運営に影響のある税制の新設・変更（税率の変更を含む。）</w:t>
            </w:r>
          </w:p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（他の項目に記載されているものを除く。）</w:t>
            </w: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626635" w:rsidRPr="0029171D" w:rsidTr="0029171D">
        <w:tc>
          <w:tcPr>
            <w:tcW w:w="964" w:type="pct"/>
            <w:vMerge/>
            <w:vAlign w:val="center"/>
            <w:hideMark/>
          </w:tcPr>
          <w:p w:rsidR="00626635" w:rsidRPr="0029171D" w:rsidRDefault="0062663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法人税、法人住民税等、指定管理者自身に影響のある税制の新設・変更</w:t>
            </w:r>
          </w:p>
          <w:p w:rsidR="00626635" w:rsidRPr="0029171D" w:rsidRDefault="00626635" w:rsidP="00F4304F">
            <w:pPr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（税率の変更を含む。）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626635" w:rsidRPr="0029171D" w:rsidTr="0029171D">
        <w:tc>
          <w:tcPr>
            <w:tcW w:w="964" w:type="pct"/>
            <w:vMerge w:val="restar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資金調達</w:t>
            </w: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資金調達できなくなったことによる施設の管理運営の中断等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626635" w:rsidRPr="0029171D" w:rsidTr="0029171D">
        <w:tc>
          <w:tcPr>
            <w:tcW w:w="964" w:type="pct"/>
            <w:vMerge/>
            <w:vAlign w:val="center"/>
            <w:hideMark/>
          </w:tcPr>
          <w:p w:rsidR="00626635" w:rsidRPr="0029171D" w:rsidRDefault="0062663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甲から乙への指定管理料の支払遅延により生じた損害</w:t>
            </w: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626635" w:rsidRPr="0029171D" w:rsidTr="0029171D">
        <w:tc>
          <w:tcPr>
            <w:tcW w:w="964" w:type="pct"/>
            <w:vMerge w:val="restar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市場環境等の変化</w:t>
            </w: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物件費、人件費等物価の変動に伴う経費の増加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626635" w:rsidRPr="0029171D" w:rsidTr="0029171D">
        <w:tc>
          <w:tcPr>
            <w:tcW w:w="964" w:type="pct"/>
            <w:vMerge/>
            <w:vAlign w:val="center"/>
            <w:hideMark/>
          </w:tcPr>
          <w:p w:rsidR="00626635" w:rsidRPr="0029171D" w:rsidRDefault="0062663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金利の変動に伴う経費の増加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626635" w:rsidRPr="0029171D" w:rsidTr="0029171D">
        <w:tc>
          <w:tcPr>
            <w:tcW w:w="964" w:type="pct"/>
            <w:vMerge/>
            <w:vAlign w:val="center"/>
            <w:hideMark/>
          </w:tcPr>
          <w:p w:rsidR="00626635" w:rsidRPr="0029171D" w:rsidRDefault="0062663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他施設との競合による利用者又は収入の減少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626635" w:rsidRPr="0029171D" w:rsidTr="0029171D">
        <w:tc>
          <w:tcPr>
            <w:tcW w:w="964" w:type="pct"/>
            <w:vMerge/>
            <w:vAlign w:val="center"/>
            <w:hideMark/>
          </w:tcPr>
          <w:p w:rsidR="00626635" w:rsidRPr="0029171D" w:rsidRDefault="0062663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当初の需要見込みと異なる状況の発生による経費の増加</w:t>
            </w:r>
            <w:r w:rsidR="00F4304F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、利用者又は収入の減少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626635" w:rsidRPr="0029171D" w:rsidTr="0029171D">
        <w:tc>
          <w:tcPr>
            <w:tcW w:w="964" w:type="pct"/>
            <w:vMerge/>
            <w:vAlign w:val="center"/>
            <w:hideMark/>
          </w:tcPr>
          <w:p w:rsidR="00626635" w:rsidRPr="0029171D" w:rsidRDefault="0062663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AA2F7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甲の都合による経費の増加</w:t>
            </w: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626635" w:rsidRPr="0029171D" w:rsidTr="0029171D">
        <w:tc>
          <w:tcPr>
            <w:tcW w:w="964" w:type="pct"/>
            <w:vMerge w:val="restar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利用者への損害賠償</w:t>
            </w: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乙の責めに帰すべき事由により利用者に損害を与えた場合</w:t>
            </w:r>
          </w:p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（不適切な施設の管理運営による利用者の怪我等）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C377D3" w:rsidRPr="0029171D" w:rsidTr="0029171D">
        <w:tc>
          <w:tcPr>
            <w:tcW w:w="964" w:type="pct"/>
            <w:vMerge/>
            <w:vAlign w:val="center"/>
          </w:tcPr>
          <w:p w:rsidR="00C377D3" w:rsidRPr="0029171D" w:rsidRDefault="00C377D3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</w:tcPr>
          <w:p w:rsidR="00C377D3" w:rsidRPr="00C377D3" w:rsidRDefault="00C377D3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甲</w:t>
            </w: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の責めに帰すべき事由により利用者に損害を与えた場合</w:t>
            </w:r>
          </w:p>
        </w:tc>
        <w:tc>
          <w:tcPr>
            <w:tcW w:w="359" w:type="pct"/>
            <w:vAlign w:val="center"/>
          </w:tcPr>
          <w:p w:rsidR="00C377D3" w:rsidRPr="0029171D" w:rsidRDefault="00C377D3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59" w:type="pct"/>
            <w:vAlign w:val="center"/>
          </w:tcPr>
          <w:p w:rsidR="00C377D3" w:rsidRPr="0029171D" w:rsidRDefault="00C377D3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C377D3" w:rsidRPr="0029171D" w:rsidTr="00C377D3">
        <w:tc>
          <w:tcPr>
            <w:tcW w:w="964" w:type="pct"/>
            <w:vMerge/>
            <w:vAlign w:val="center"/>
            <w:hideMark/>
          </w:tcPr>
          <w:p w:rsidR="00C377D3" w:rsidRPr="0029171D" w:rsidRDefault="00C377D3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  <w:hideMark/>
          </w:tcPr>
          <w:p w:rsidR="00C377D3" w:rsidRPr="0029171D" w:rsidRDefault="00C377D3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上記以外の事由により利用者に損害を与えた場合</w:t>
            </w:r>
          </w:p>
        </w:tc>
        <w:tc>
          <w:tcPr>
            <w:tcW w:w="718" w:type="pct"/>
            <w:gridSpan w:val="2"/>
            <w:vAlign w:val="center"/>
            <w:hideMark/>
          </w:tcPr>
          <w:p w:rsidR="00C377D3" w:rsidRPr="0029171D" w:rsidRDefault="00C377D3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協議</w:t>
            </w:r>
          </w:p>
        </w:tc>
      </w:tr>
      <w:tr w:rsidR="00626635" w:rsidRPr="0029171D" w:rsidTr="0029171D">
        <w:tc>
          <w:tcPr>
            <w:tcW w:w="964" w:type="pct"/>
            <w:vMerge w:val="restart"/>
            <w:vAlign w:val="center"/>
            <w:hideMark/>
          </w:tcPr>
          <w:p w:rsidR="00626635" w:rsidRPr="0029171D" w:rsidRDefault="00626635" w:rsidP="00F4304F">
            <w:pPr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第三者への損害賠償</w:t>
            </w: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乙の責めに帰すべき事由により利用者に損害を与えた場合</w:t>
            </w:r>
          </w:p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（不適切な施設の管理運営による騒音、振動等の苦情等を含む。）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C377D3" w:rsidRPr="0029171D" w:rsidTr="0029171D">
        <w:tc>
          <w:tcPr>
            <w:tcW w:w="964" w:type="pct"/>
            <w:vMerge/>
            <w:vAlign w:val="center"/>
          </w:tcPr>
          <w:p w:rsidR="00C377D3" w:rsidRPr="0029171D" w:rsidRDefault="00C377D3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</w:tcPr>
          <w:p w:rsidR="00C377D3" w:rsidRPr="0029171D" w:rsidRDefault="00C377D3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甲</w:t>
            </w: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の責めに帰すべき事由により利用者に損害を与えた場合</w:t>
            </w:r>
          </w:p>
        </w:tc>
        <w:tc>
          <w:tcPr>
            <w:tcW w:w="359" w:type="pct"/>
            <w:vAlign w:val="center"/>
          </w:tcPr>
          <w:p w:rsidR="00C377D3" w:rsidRPr="0029171D" w:rsidRDefault="00C377D3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59" w:type="pct"/>
            <w:vAlign w:val="center"/>
          </w:tcPr>
          <w:p w:rsidR="00C377D3" w:rsidRPr="0029171D" w:rsidRDefault="00C377D3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C377D3" w:rsidRPr="0029171D" w:rsidTr="00C377D3">
        <w:tc>
          <w:tcPr>
            <w:tcW w:w="964" w:type="pct"/>
            <w:vMerge/>
            <w:vAlign w:val="center"/>
            <w:hideMark/>
          </w:tcPr>
          <w:p w:rsidR="00C377D3" w:rsidRPr="0029171D" w:rsidRDefault="00C377D3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  <w:hideMark/>
          </w:tcPr>
          <w:p w:rsidR="00C377D3" w:rsidRPr="0029171D" w:rsidRDefault="00C377D3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上記以外の事由により利用者に損害を与えた場合</w:t>
            </w:r>
          </w:p>
        </w:tc>
        <w:tc>
          <w:tcPr>
            <w:tcW w:w="718" w:type="pct"/>
            <w:gridSpan w:val="2"/>
            <w:vAlign w:val="center"/>
            <w:hideMark/>
          </w:tcPr>
          <w:p w:rsidR="00C377D3" w:rsidRPr="0029171D" w:rsidRDefault="00C377D3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協議</w:t>
            </w:r>
          </w:p>
        </w:tc>
      </w:tr>
      <w:tr w:rsidR="00686D75" w:rsidRPr="0029171D" w:rsidTr="0029171D">
        <w:tc>
          <w:tcPr>
            <w:tcW w:w="964" w:type="pct"/>
            <w:vMerge w:val="restart"/>
            <w:vAlign w:val="center"/>
            <w:hideMark/>
          </w:tcPr>
          <w:p w:rsidR="00686D75" w:rsidRPr="0029171D" w:rsidRDefault="00686D7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管理運営の中止・中断</w:t>
            </w:r>
          </w:p>
        </w:tc>
        <w:tc>
          <w:tcPr>
            <w:tcW w:w="3318" w:type="pct"/>
            <w:vAlign w:val="center"/>
            <w:hideMark/>
          </w:tcPr>
          <w:p w:rsidR="00686D75" w:rsidRPr="0029171D" w:rsidRDefault="00686D7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甲の責めに帰すべき事由</w:t>
            </w:r>
            <w:r w:rsidR="003B6D26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又は甲の緊急的事由</w:t>
            </w: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による</w:t>
            </w:r>
            <w:r w:rsidR="00886819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管理運営の</w:t>
            </w: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中止・中断</w:t>
            </w:r>
          </w:p>
        </w:tc>
        <w:tc>
          <w:tcPr>
            <w:tcW w:w="359" w:type="pct"/>
            <w:vAlign w:val="center"/>
            <w:hideMark/>
          </w:tcPr>
          <w:p w:rsidR="00686D75" w:rsidRPr="0029171D" w:rsidRDefault="00686D7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59" w:type="pct"/>
            <w:vAlign w:val="center"/>
          </w:tcPr>
          <w:p w:rsidR="00686D75" w:rsidRPr="0029171D" w:rsidRDefault="00686D7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686D75" w:rsidRPr="0029171D" w:rsidTr="0029171D">
        <w:tc>
          <w:tcPr>
            <w:tcW w:w="964" w:type="pct"/>
            <w:vMerge/>
            <w:vAlign w:val="center"/>
            <w:hideMark/>
          </w:tcPr>
          <w:p w:rsidR="00686D75" w:rsidRPr="0029171D" w:rsidRDefault="00686D7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  <w:hideMark/>
          </w:tcPr>
          <w:p w:rsidR="00686D75" w:rsidRPr="0029171D" w:rsidRDefault="00686D7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乙の責めに帰すべき事由による</w:t>
            </w:r>
            <w:r w:rsidR="00886819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管理運営の</w:t>
            </w: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中止・中断</w:t>
            </w:r>
          </w:p>
        </w:tc>
        <w:tc>
          <w:tcPr>
            <w:tcW w:w="359" w:type="pct"/>
            <w:vAlign w:val="center"/>
          </w:tcPr>
          <w:p w:rsidR="00686D75" w:rsidRPr="0029171D" w:rsidRDefault="00686D7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86D75" w:rsidRPr="0029171D" w:rsidRDefault="00686D7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F4304F" w:rsidRPr="0029171D" w:rsidTr="0029171D">
        <w:tc>
          <w:tcPr>
            <w:tcW w:w="964" w:type="pct"/>
            <w:vMerge/>
            <w:vAlign w:val="center"/>
          </w:tcPr>
          <w:p w:rsidR="00F4304F" w:rsidRPr="0029171D" w:rsidRDefault="00F4304F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</w:tcPr>
          <w:p w:rsidR="00F4304F" w:rsidRPr="0029171D" w:rsidRDefault="00F4304F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上記以外の事由による管理運営の中止・中断</w:t>
            </w:r>
          </w:p>
        </w:tc>
        <w:tc>
          <w:tcPr>
            <w:tcW w:w="718" w:type="pct"/>
            <w:gridSpan w:val="2"/>
            <w:vAlign w:val="center"/>
          </w:tcPr>
          <w:p w:rsidR="00F4304F" w:rsidRPr="0029171D" w:rsidRDefault="00F4304F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協議</w:t>
            </w:r>
          </w:p>
        </w:tc>
      </w:tr>
      <w:tr w:rsidR="00626635" w:rsidRPr="0029171D" w:rsidTr="0029171D">
        <w:tc>
          <w:tcPr>
            <w:tcW w:w="964" w:type="pct"/>
            <w:vMerge w:val="restart"/>
            <w:vAlign w:val="center"/>
            <w:hideMark/>
          </w:tcPr>
          <w:p w:rsidR="00626635" w:rsidRPr="0029171D" w:rsidRDefault="0062663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施設</w:t>
            </w:r>
            <w:r w:rsidR="00686D75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等</w:t>
            </w: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の損傷</w:t>
            </w: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経年劣化、第三者の行為（相手方が特定できないものを含む。）による</w:t>
            </w:r>
            <w:r w:rsidR="00686D75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施設等の</w:t>
            </w: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損傷のうち、</w:t>
            </w:r>
            <w:r w:rsidR="00686D75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修繕費用が</w:t>
            </w:r>
            <w:r w:rsidR="007D0B5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１件につき税込１３</w:t>
            </w: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０万円未満のもの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626635" w:rsidRPr="0029171D" w:rsidTr="0029171D">
        <w:tc>
          <w:tcPr>
            <w:tcW w:w="964" w:type="pct"/>
            <w:vMerge/>
            <w:vAlign w:val="center"/>
            <w:hideMark/>
          </w:tcPr>
          <w:p w:rsidR="00626635" w:rsidRPr="0029171D" w:rsidRDefault="0062663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経年劣化、第三者の行為（相手方が特定できないものを含む。）による</w:t>
            </w:r>
            <w:r w:rsidR="00686D75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施設等の</w:t>
            </w: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損傷のうち、</w:t>
            </w:r>
            <w:r w:rsidR="00686D75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修繕費用が</w:t>
            </w:r>
            <w:r w:rsidR="007D0B5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１件につき税込１３</w:t>
            </w: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０万円以上のもの</w:t>
            </w: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59" w:type="pct"/>
            <w:vAlign w:val="center"/>
          </w:tcPr>
          <w:p w:rsidR="00626635" w:rsidRPr="0029171D" w:rsidRDefault="00496B3B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(※１)</w:t>
            </w:r>
          </w:p>
        </w:tc>
      </w:tr>
      <w:tr w:rsidR="00626635" w:rsidRPr="0029171D" w:rsidTr="0029171D">
        <w:tc>
          <w:tcPr>
            <w:tcW w:w="964" w:type="pct"/>
            <w:vMerge/>
            <w:vAlign w:val="center"/>
            <w:hideMark/>
          </w:tcPr>
          <w:p w:rsidR="00626635" w:rsidRPr="0029171D" w:rsidRDefault="0062663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乙の責めに帰すべき事由による</w:t>
            </w:r>
            <w:r w:rsidR="00686D75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施設等</w:t>
            </w: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の損傷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626635" w:rsidRPr="0029171D" w:rsidTr="0029171D">
        <w:tc>
          <w:tcPr>
            <w:tcW w:w="964" w:type="pct"/>
            <w:vMerge/>
            <w:vAlign w:val="center"/>
          </w:tcPr>
          <w:p w:rsidR="00626635" w:rsidRPr="0029171D" w:rsidRDefault="0062663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上記以外の事由による</w:t>
            </w:r>
            <w:r w:rsidR="00686D75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施設等</w:t>
            </w: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の損傷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626635" w:rsidRPr="0029171D" w:rsidTr="0029171D">
        <w:tc>
          <w:tcPr>
            <w:tcW w:w="964" w:type="pct"/>
            <w:vMerge w:val="restar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不可抗力</w:t>
            </w:r>
          </w:p>
        </w:tc>
        <w:tc>
          <w:tcPr>
            <w:tcW w:w="3318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不可抗力による管理運営の中止・中断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59" w:type="pct"/>
            <w:vAlign w:val="center"/>
          </w:tcPr>
          <w:p w:rsidR="00626635" w:rsidRPr="0029171D" w:rsidRDefault="0029171D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(</w:t>
            </w:r>
            <w:r w:rsidR="00496B3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※２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626635" w:rsidRPr="0029171D" w:rsidTr="0029171D">
        <w:tc>
          <w:tcPr>
            <w:tcW w:w="964" w:type="pct"/>
            <w:vMerge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不可抗力による施設</w:t>
            </w:r>
            <w:r w:rsidR="00443712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等の損壊における</w:t>
            </w: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復旧費用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59" w:type="pct"/>
            <w:vAlign w:val="center"/>
          </w:tcPr>
          <w:p w:rsidR="00626635" w:rsidRPr="0029171D" w:rsidRDefault="00F70582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(※</w:t>
            </w:r>
            <w:r w:rsidR="00496B3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</w:t>
            </w: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626635" w:rsidRPr="0029171D" w:rsidTr="0029171D">
        <w:tc>
          <w:tcPr>
            <w:tcW w:w="964" w:type="pct"/>
            <w:vMerge w:val="restar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環境問題</w:t>
            </w: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施設又は用地から有害物質等が発生した場合</w:t>
            </w: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626635" w:rsidRPr="0029171D" w:rsidTr="0029171D">
        <w:tc>
          <w:tcPr>
            <w:tcW w:w="964" w:type="pct"/>
            <w:vMerge/>
            <w:vAlign w:val="center"/>
            <w:hideMark/>
          </w:tcPr>
          <w:p w:rsidR="00626635" w:rsidRPr="0029171D" w:rsidRDefault="00626635" w:rsidP="00F4304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318" w:type="pct"/>
            <w:vAlign w:val="center"/>
            <w:hideMark/>
          </w:tcPr>
          <w:p w:rsidR="00626635" w:rsidRPr="0029171D" w:rsidRDefault="00CA232E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施設の管理運営及び自主事業に起因する有害物質の排出・漏えい</w:t>
            </w:r>
            <w:r w:rsidR="00626635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、騒音、振動、光、臭気等に関するもの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626635" w:rsidRPr="0029171D" w:rsidTr="0029171D">
        <w:tc>
          <w:tcPr>
            <w:tcW w:w="964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セキュリティ</w:t>
            </w:r>
          </w:p>
        </w:tc>
        <w:tc>
          <w:tcPr>
            <w:tcW w:w="3318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乙の警備不備による損害（盗難、情報の漏えい、犯罪の発生等）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626635" w:rsidRPr="0029171D" w:rsidTr="0029171D">
        <w:tc>
          <w:tcPr>
            <w:tcW w:w="964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事業終了時の費用</w:t>
            </w:r>
          </w:p>
        </w:tc>
        <w:tc>
          <w:tcPr>
            <w:tcW w:w="3318" w:type="pct"/>
            <w:vAlign w:val="center"/>
            <w:hideMark/>
          </w:tcPr>
          <w:p w:rsidR="00626635" w:rsidRPr="0029171D" w:rsidRDefault="008307EE" w:rsidP="00F4304F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指定期間の満了</w:t>
            </w:r>
            <w:r w:rsidR="00626635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又は指定</w:t>
            </w:r>
            <w:r w:rsidR="00F70582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の取消しの</w:t>
            </w:r>
            <w:r w:rsidR="00626635"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場合における原状回復及び撤収費用</w:t>
            </w:r>
          </w:p>
        </w:tc>
        <w:tc>
          <w:tcPr>
            <w:tcW w:w="359" w:type="pct"/>
            <w:vAlign w:val="center"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626635" w:rsidRPr="0029171D" w:rsidRDefault="00626635" w:rsidP="00F4304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17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</w:tbl>
    <w:p w:rsidR="00496B3B" w:rsidRDefault="00496B3B" w:rsidP="00AA2F7F">
      <w:pPr>
        <w:spacing w:line="240" w:lineRule="exact"/>
        <w:ind w:left="360" w:hangingChars="200" w:hanging="360"/>
        <w:rPr>
          <w:rFonts w:asciiTheme="minorEastAsia" w:eastAsiaTheme="minorEastAsia" w:hAnsiTheme="minorEastAsia" w:cs="ＭＳ Ｐゴシック"/>
          <w:kern w:val="0"/>
          <w:sz w:val="18"/>
          <w:szCs w:val="19"/>
        </w:rPr>
      </w:pPr>
      <w:r>
        <w:rPr>
          <w:rFonts w:asciiTheme="minorEastAsia" w:eastAsiaTheme="minorEastAsia" w:hAnsiTheme="minorEastAsia" w:cs="ＭＳ Ｐゴシック" w:hint="eastAsia"/>
          <w:kern w:val="0"/>
          <w:sz w:val="18"/>
          <w:szCs w:val="19"/>
        </w:rPr>
        <w:t xml:space="preserve">※１　</w:t>
      </w:r>
      <w:r w:rsidR="007D0B58">
        <w:rPr>
          <w:rFonts w:asciiTheme="minorEastAsia" w:eastAsiaTheme="minorEastAsia" w:hAnsiTheme="minorEastAsia" w:cs="ＭＳ Ｐゴシック" w:hint="eastAsia"/>
          <w:kern w:val="0"/>
          <w:sz w:val="18"/>
          <w:szCs w:val="19"/>
        </w:rPr>
        <w:t>甲が緊急やむを得ない理由があると認めるときは、乙は、１件につき１３</w:t>
      </w:r>
      <w:r>
        <w:rPr>
          <w:rFonts w:asciiTheme="minorEastAsia" w:eastAsiaTheme="minorEastAsia" w:hAnsiTheme="minorEastAsia" w:cs="ＭＳ Ｐゴシック" w:hint="eastAsia"/>
          <w:kern w:val="0"/>
          <w:sz w:val="18"/>
          <w:szCs w:val="19"/>
        </w:rPr>
        <w:t>０万円（消費税及び地方消費税を含む。）以上の修繕を行うことができる。</w:t>
      </w:r>
    </w:p>
    <w:p w:rsidR="0029171D" w:rsidRPr="0029171D" w:rsidRDefault="0029171D" w:rsidP="00AA2F7F">
      <w:pPr>
        <w:spacing w:line="240" w:lineRule="exact"/>
        <w:ind w:left="360" w:hangingChars="200" w:hanging="360"/>
        <w:rPr>
          <w:rFonts w:asciiTheme="minorEastAsia" w:eastAsiaTheme="minorEastAsia" w:hAnsiTheme="minorEastAsia"/>
        </w:rPr>
      </w:pPr>
      <w:r w:rsidRPr="0029171D">
        <w:rPr>
          <w:rFonts w:asciiTheme="minorEastAsia" w:eastAsiaTheme="minorEastAsia" w:hAnsiTheme="minorEastAsia" w:cs="ＭＳ Ｐゴシック" w:hint="eastAsia"/>
          <w:kern w:val="0"/>
          <w:sz w:val="18"/>
          <w:szCs w:val="19"/>
        </w:rPr>
        <w:t>※</w:t>
      </w:r>
      <w:r w:rsidR="00496B3B">
        <w:rPr>
          <w:rFonts w:asciiTheme="minorEastAsia" w:eastAsiaTheme="minorEastAsia" w:hAnsiTheme="minorEastAsia" w:cs="ＭＳ Ｐゴシック" w:hint="eastAsia"/>
          <w:kern w:val="0"/>
          <w:sz w:val="18"/>
          <w:szCs w:val="19"/>
        </w:rPr>
        <w:t>２</w:t>
      </w:r>
      <w:r w:rsidRPr="0029171D">
        <w:rPr>
          <w:rFonts w:asciiTheme="minorEastAsia" w:eastAsiaTheme="minorEastAsia" w:hAnsiTheme="minorEastAsia" w:cs="ＭＳ Ｐゴシック" w:hint="eastAsia"/>
          <w:kern w:val="0"/>
          <w:sz w:val="18"/>
          <w:szCs w:val="19"/>
        </w:rPr>
        <w:t xml:space="preserve">　</w:t>
      </w:r>
      <w:r w:rsidR="00AA2F7F">
        <w:rPr>
          <w:rFonts w:asciiTheme="minorEastAsia" w:eastAsiaTheme="minorEastAsia" w:hAnsiTheme="minorEastAsia" w:cs="ＭＳ Ｐゴシック" w:hint="eastAsia"/>
          <w:kern w:val="0"/>
          <w:sz w:val="18"/>
          <w:szCs w:val="19"/>
        </w:rPr>
        <w:t>不可抗力により乙に損害又は増加費用が発生した場合、当該損害又は増加費用については、合理性の認められる範囲で甲が負担する。</w:t>
      </w:r>
    </w:p>
    <w:p w:rsidR="005B74EF" w:rsidRPr="0029171D" w:rsidRDefault="00F70582" w:rsidP="00AA2F7F">
      <w:pPr>
        <w:spacing w:line="240" w:lineRule="exact"/>
        <w:ind w:left="360" w:hangingChars="200" w:hanging="360"/>
        <w:rPr>
          <w:rFonts w:asciiTheme="minorEastAsia" w:eastAsiaTheme="minorEastAsia" w:hAnsiTheme="minorEastAsia"/>
        </w:rPr>
      </w:pPr>
      <w:r w:rsidRPr="0029171D">
        <w:rPr>
          <w:rFonts w:asciiTheme="minorEastAsia" w:eastAsiaTheme="minorEastAsia" w:hAnsiTheme="minorEastAsia" w:cs="ＭＳ Ｐゴシック" w:hint="eastAsia"/>
          <w:kern w:val="0"/>
          <w:sz w:val="18"/>
          <w:szCs w:val="19"/>
        </w:rPr>
        <w:t>※</w:t>
      </w:r>
      <w:r w:rsidR="00496B3B">
        <w:rPr>
          <w:rFonts w:asciiTheme="minorEastAsia" w:eastAsiaTheme="minorEastAsia" w:hAnsiTheme="minorEastAsia" w:cs="ＭＳ Ｐゴシック" w:hint="eastAsia"/>
          <w:kern w:val="0"/>
          <w:sz w:val="18"/>
          <w:szCs w:val="19"/>
        </w:rPr>
        <w:t>３</w:t>
      </w:r>
      <w:r w:rsidR="00133296" w:rsidRPr="0029171D">
        <w:rPr>
          <w:rFonts w:asciiTheme="minorEastAsia" w:eastAsiaTheme="minorEastAsia" w:hAnsiTheme="minorEastAsia" w:cs="ＭＳ Ｐゴシック" w:hint="eastAsia"/>
          <w:kern w:val="0"/>
          <w:sz w:val="18"/>
          <w:szCs w:val="19"/>
        </w:rPr>
        <w:t xml:space="preserve">　</w:t>
      </w:r>
      <w:r w:rsidR="00F4304F" w:rsidRPr="0029171D">
        <w:rPr>
          <w:rFonts w:asciiTheme="minorEastAsia" w:eastAsiaTheme="minorEastAsia" w:hAnsiTheme="minorEastAsia" w:cs="ＭＳ Ｐゴシック" w:hint="eastAsia"/>
          <w:kern w:val="0"/>
          <w:sz w:val="18"/>
          <w:szCs w:val="19"/>
        </w:rPr>
        <w:t>損壊復旧に係る費用を乙が付保した保険により</w:t>
      </w:r>
      <w:r w:rsidR="0029171D" w:rsidRPr="0029171D">
        <w:rPr>
          <w:rFonts w:asciiTheme="minorEastAsia" w:eastAsiaTheme="minorEastAsia" w:hAnsiTheme="minorEastAsia" w:cs="ＭＳ Ｐゴシック" w:hint="eastAsia"/>
          <w:kern w:val="0"/>
          <w:sz w:val="18"/>
          <w:szCs w:val="19"/>
        </w:rPr>
        <w:t>補填された場合にあっては、当該</w:t>
      </w:r>
      <w:r w:rsidR="00133296" w:rsidRPr="0029171D">
        <w:rPr>
          <w:rFonts w:asciiTheme="minorEastAsia" w:eastAsiaTheme="minorEastAsia" w:hAnsiTheme="minorEastAsia" w:cs="ＭＳ Ｐゴシック" w:hint="eastAsia"/>
          <w:kern w:val="0"/>
          <w:sz w:val="18"/>
          <w:szCs w:val="19"/>
        </w:rPr>
        <w:t>補塡された金額相当分については、甲の負担に含まないものとする。</w:t>
      </w:r>
    </w:p>
    <w:sectPr w:rsidR="005B74EF" w:rsidRPr="0029171D" w:rsidSect="00626635"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08" w:rsidRDefault="00C57808" w:rsidP="00580E0D">
      <w:r>
        <w:separator/>
      </w:r>
    </w:p>
  </w:endnote>
  <w:endnote w:type="continuationSeparator" w:id="0">
    <w:p w:rsidR="00C57808" w:rsidRDefault="00C57808" w:rsidP="0058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08" w:rsidRDefault="00C57808" w:rsidP="00580E0D">
      <w:r>
        <w:separator/>
      </w:r>
    </w:p>
  </w:footnote>
  <w:footnote w:type="continuationSeparator" w:id="0">
    <w:p w:rsidR="00C57808" w:rsidRDefault="00C57808" w:rsidP="0058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04"/>
    <w:rsid w:val="000053A1"/>
    <w:rsid w:val="00023D27"/>
    <w:rsid w:val="000C7435"/>
    <w:rsid w:val="00133296"/>
    <w:rsid w:val="001E1C46"/>
    <w:rsid w:val="001F4735"/>
    <w:rsid w:val="001F555B"/>
    <w:rsid w:val="001F5B2D"/>
    <w:rsid w:val="00211DBE"/>
    <w:rsid w:val="002674B8"/>
    <w:rsid w:val="0029171D"/>
    <w:rsid w:val="002D797E"/>
    <w:rsid w:val="003924DE"/>
    <w:rsid w:val="003B4732"/>
    <w:rsid w:val="003B6D26"/>
    <w:rsid w:val="00443712"/>
    <w:rsid w:val="004610BE"/>
    <w:rsid w:val="00496B3B"/>
    <w:rsid w:val="004B7E1E"/>
    <w:rsid w:val="0053311A"/>
    <w:rsid w:val="00554596"/>
    <w:rsid w:val="00580E0D"/>
    <w:rsid w:val="005B74EF"/>
    <w:rsid w:val="005E2040"/>
    <w:rsid w:val="005F2D39"/>
    <w:rsid w:val="00626635"/>
    <w:rsid w:val="00686D75"/>
    <w:rsid w:val="00745917"/>
    <w:rsid w:val="00753D0C"/>
    <w:rsid w:val="007D0B58"/>
    <w:rsid w:val="007D27D8"/>
    <w:rsid w:val="00825625"/>
    <w:rsid w:val="008307EE"/>
    <w:rsid w:val="00834568"/>
    <w:rsid w:val="00886819"/>
    <w:rsid w:val="00981304"/>
    <w:rsid w:val="009B19D3"/>
    <w:rsid w:val="009D0516"/>
    <w:rsid w:val="009F7F61"/>
    <w:rsid w:val="00A16F6F"/>
    <w:rsid w:val="00AA2F7F"/>
    <w:rsid w:val="00AB2277"/>
    <w:rsid w:val="00B0519D"/>
    <w:rsid w:val="00BD3297"/>
    <w:rsid w:val="00C05B4F"/>
    <w:rsid w:val="00C377D3"/>
    <w:rsid w:val="00C57808"/>
    <w:rsid w:val="00CA232E"/>
    <w:rsid w:val="00D9755E"/>
    <w:rsid w:val="00E10289"/>
    <w:rsid w:val="00E94D72"/>
    <w:rsid w:val="00EB1B20"/>
    <w:rsid w:val="00F4304F"/>
    <w:rsid w:val="00F70582"/>
    <w:rsid w:val="00F9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B9CBD1"/>
  <w15:docId w15:val="{69A4A32A-0FC3-4DAC-AF66-B8866863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E0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0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E0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3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3D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墨田区役所</dc:creator>
  <cp:lastModifiedBy>Windows ユーザー</cp:lastModifiedBy>
  <cp:revision>5</cp:revision>
  <cp:lastPrinted>2023-05-29T05:52:00Z</cp:lastPrinted>
  <dcterms:created xsi:type="dcterms:W3CDTF">2023-05-29T06:00:00Z</dcterms:created>
  <dcterms:modified xsi:type="dcterms:W3CDTF">2025-06-05T01:49:00Z</dcterms:modified>
</cp:coreProperties>
</file>